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54" w:rsidRPr="00CF209F" w:rsidRDefault="00CF209F">
      <w:pPr>
        <w:rPr>
          <w:b/>
        </w:rPr>
      </w:pPr>
      <w:r w:rsidRPr="00CF209F">
        <w:rPr>
          <w:b/>
        </w:rPr>
        <w:t>GATT Article VI</w:t>
      </w:r>
    </w:p>
    <w:p w:rsidR="00CF209F" w:rsidRDefault="00CF209F" w:rsidP="00CF209F">
      <w:pPr>
        <w:pStyle w:val="paranormaltext"/>
      </w:pPr>
      <w:r>
        <w:t>1.   The contracting parties recognize that dumping, by which products of one country are introduced into the commerce of another country at less than the normal value of the products, is to be condemned if it causes or threatens material injury to an established industry in the territory of a contracting party or materially retards the establishment of a domestic industry. For the purposes of this Article, a product is to be considered as being introduced into the commerce of an importing country at less than its normal value, if the price of the product exported from one country to another</w:t>
      </w:r>
    </w:p>
    <w:p w:rsidR="00CF209F" w:rsidRDefault="00CF209F" w:rsidP="00CF209F">
      <w:pPr>
        <w:pStyle w:val="tocindent4"/>
      </w:pPr>
      <w:bookmarkStart w:id="0" w:name="art6_1_a"/>
      <w:bookmarkStart w:id="1" w:name="articleVI_1a"/>
      <w:bookmarkEnd w:id="0"/>
      <w:bookmarkEnd w:id="1"/>
      <w:r>
        <w:t>(</w:t>
      </w:r>
      <w:r>
        <w:rPr>
          <w:i/>
          <w:iCs/>
        </w:rPr>
        <w:t>a</w:t>
      </w:r>
      <w:r>
        <w:t>)  </w:t>
      </w:r>
      <w:proofErr w:type="gramStart"/>
      <w:r>
        <w:t>is</w:t>
      </w:r>
      <w:proofErr w:type="gramEnd"/>
      <w:r>
        <w:t xml:space="preserve"> less than the comparable price, in the ordinary course of trade, for the like product when destined for consumption in the exporting country, or,</w:t>
      </w:r>
      <w:r>
        <w:br/>
        <w:t xml:space="preserve">  </w:t>
      </w:r>
    </w:p>
    <w:p w:rsidR="00CF209F" w:rsidRDefault="00CF209F" w:rsidP="00CF209F">
      <w:pPr>
        <w:pStyle w:val="tocindent4"/>
      </w:pPr>
      <w:bookmarkStart w:id="2" w:name="art6_1_b"/>
      <w:bookmarkStart w:id="3" w:name="articleVI_1b"/>
      <w:bookmarkEnd w:id="2"/>
      <w:bookmarkEnd w:id="3"/>
      <w:r>
        <w:t>(</w:t>
      </w:r>
      <w:r>
        <w:rPr>
          <w:i/>
          <w:iCs/>
        </w:rPr>
        <w:t>b</w:t>
      </w:r>
      <w:r>
        <w:t>)  </w:t>
      </w:r>
      <w:proofErr w:type="gramStart"/>
      <w:r>
        <w:t>in</w:t>
      </w:r>
      <w:proofErr w:type="gramEnd"/>
      <w:r>
        <w:t xml:space="preserve"> the absence of such domestic price, is less than either</w:t>
      </w:r>
      <w:r>
        <w:br/>
        <w:t> </w:t>
      </w:r>
    </w:p>
    <w:p w:rsidR="00CF209F" w:rsidRDefault="00CF209F" w:rsidP="00CF209F">
      <w:pPr>
        <w:pStyle w:val="tocindent8"/>
      </w:pPr>
      <w:bookmarkStart w:id="4" w:name="art6_1_b_1"/>
      <w:bookmarkStart w:id="5" w:name="articleVI_1bi"/>
      <w:bookmarkEnd w:id="4"/>
      <w:bookmarkEnd w:id="5"/>
      <w:r>
        <w:t>(</w:t>
      </w:r>
      <w:proofErr w:type="spellStart"/>
      <w:r>
        <w:t>i</w:t>
      </w:r>
      <w:proofErr w:type="spellEnd"/>
      <w:r>
        <w:t>)   </w:t>
      </w:r>
      <w:proofErr w:type="gramStart"/>
      <w:r>
        <w:t>the</w:t>
      </w:r>
      <w:proofErr w:type="gramEnd"/>
      <w:r>
        <w:t xml:space="preserve"> highest comparable price for the like product for export to any third country in the ordinary course of trade, or</w:t>
      </w:r>
      <w:r>
        <w:br/>
        <w:t xml:space="preserve">  </w:t>
      </w:r>
    </w:p>
    <w:p w:rsidR="00CF209F" w:rsidRDefault="00CF209F" w:rsidP="00CF209F">
      <w:pPr>
        <w:pStyle w:val="tocindent8"/>
      </w:pPr>
      <w:bookmarkStart w:id="6" w:name="art6_1_b_2"/>
      <w:bookmarkStart w:id="7" w:name="articleVI_1bii"/>
      <w:bookmarkEnd w:id="6"/>
      <w:bookmarkEnd w:id="7"/>
      <w:r>
        <w:t>(ii)  </w:t>
      </w:r>
      <w:proofErr w:type="gramStart"/>
      <w:r>
        <w:t>the</w:t>
      </w:r>
      <w:proofErr w:type="gramEnd"/>
      <w:r>
        <w:t xml:space="preserve"> cost of production of the product in the country of origin plus a reasonable addition for selling cost and profit. </w:t>
      </w:r>
    </w:p>
    <w:p w:rsidR="00CF209F" w:rsidRDefault="00CF209F" w:rsidP="00CF209F">
      <w:pPr>
        <w:pStyle w:val="paranormaltext"/>
      </w:pPr>
      <w:r>
        <w:t xml:space="preserve">Due allowance shall be made in each case for differences in conditions and terms of sale, for differences in taxation, and for other differences affecting price comparability.* </w:t>
      </w:r>
    </w:p>
    <w:p w:rsidR="00CF209F" w:rsidRDefault="00CF209F" w:rsidP="00CF209F">
      <w:pPr>
        <w:pStyle w:val="paranormaltext"/>
      </w:pPr>
      <w:bookmarkStart w:id="8" w:name="art6_2"/>
      <w:bookmarkStart w:id="9" w:name="articleVI_2"/>
      <w:bookmarkEnd w:id="8"/>
      <w:bookmarkEnd w:id="9"/>
      <w:r>
        <w:t xml:space="preserve">2.   In order to offset or prevent dumping, a contracting party may levy on any dumped product an anti-dumping duty not greater in amount than the margin of dumping in respect of such product. For the purposes of this Article, the margin of dumping is the price difference determined in accordance with the provisions of paragraph 1.* </w:t>
      </w:r>
    </w:p>
    <w:p w:rsidR="00CF209F" w:rsidRPr="00CF209F" w:rsidRDefault="00CF209F" w:rsidP="00CF209F">
      <w:pPr>
        <w:pStyle w:val="paracolourtext"/>
        <w:rPr>
          <w:b/>
        </w:rPr>
      </w:pPr>
      <w:r w:rsidRPr="00CF209F">
        <w:rPr>
          <w:b/>
        </w:rPr>
        <w:t xml:space="preserve">Note </w:t>
      </w:r>
      <w:r w:rsidRPr="00CF209F">
        <w:rPr>
          <w:b/>
        </w:rPr>
        <w:t>Ad Article VI</w:t>
      </w:r>
    </w:p>
    <w:p w:rsidR="00CF209F" w:rsidRDefault="00CF209F" w:rsidP="00CF209F">
      <w:pPr>
        <w:pStyle w:val="paranormaltext"/>
      </w:pPr>
      <w:bookmarkStart w:id="10" w:name="anni_art6_1"/>
      <w:bookmarkStart w:id="11" w:name="annexiart6_p1"/>
      <w:bookmarkEnd w:id="10"/>
      <w:bookmarkEnd w:id="11"/>
      <w:r>
        <w:rPr>
          <w:i/>
          <w:iCs/>
        </w:rPr>
        <w:t>Paragraph 1</w:t>
      </w:r>
    </w:p>
    <w:p w:rsidR="00CF209F" w:rsidRDefault="00CF209F" w:rsidP="00CF209F">
      <w:pPr>
        <w:pStyle w:val="paranormaltext"/>
      </w:pPr>
      <w:bookmarkStart w:id="12" w:name="anni_art6_1_1"/>
      <w:bookmarkStart w:id="13" w:name="annexiart6_1"/>
      <w:bookmarkEnd w:id="12"/>
      <w:bookmarkEnd w:id="13"/>
      <w:r>
        <w:t>1.   Hidden dumping by associated houses (that is, the sale by an importer at a price below that corresponding to the price invoiced by an exporter with whom the importer is associated, and also below the price in the exporting country) constitutes a form of price dumping with respect to which the margin of dumping may be calculated on the basis of the price at which the goods are resold by the importer.</w:t>
      </w:r>
    </w:p>
    <w:p w:rsidR="00CF209F" w:rsidRDefault="00CF209F" w:rsidP="00CF209F">
      <w:pPr>
        <w:pStyle w:val="paranormaltext"/>
      </w:pPr>
      <w:bookmarkStart w:id="14" w:name="anni_art6_1_2"/>
      <w:bookmarkStart w:id="15" w:name="annexiart6_2"/>
      <w:bookmarkEnd w:id="14"/>
      <w:bookmarkEnd w:id="15"/>
      <w:r>
        <w:t>2.   It is recognized that, in the case of imports from a country which has a complete or substantially complete monopoly of its trade and where all domestic prices are fixed by the State, special difficulties may exist in determining price comparability for the purposes of paragraph 1, and in such cases importing contracting parties may find it necessary to take into account the possibility that a strict comparison with domestic prices in such a country may not always be appropriate.</w:t>
      </w:r>
    </w:p>
    <w:p w:rsidR="00CF209F" w:rsidRDefault="00CF209F"/>
    <w:p w:rsidR="00CF209F" w:rsidRPr="00CF209F" w:rsidRDefault="00CF209F" w:rsidP="00CF209F">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sidRPr="00CF209F">
        <w:rPr>
          <w:rFonts w:ascii="Times New Roman" w:eastAsia="Times New Roman" w:hAnsi="Times New Roman" w:cs="Times New Roman"/>
          <w:b/>
          <w:bCs/>
          <w:sz w:val="36"/>
          <w:szCs w:val="36"/>
          <w:lang w:eastAsia="en-AU"/>
        </w:rPr>
        <w:lastRenderedPageBreak/>
        <w:t xml:space="preserve">Part I: Article 2 </w:t>
      </w:r>
      <w:r w:rsidRPr="00CF209F">
        <w:rPr>
          <w:rFonts w:ascii="Times New Roman" w:eastAsia="Times New Roman" w:hAnsi="Times New Roman" w:cs="Times New Roman"/>
          <w:b/>
          <w:bCs/>
          <w:sz w:val="36"/>
          <w:szCs w:val="36"/>
          <w:lang w:eastAsia="en-AU"/>
        </w:rPr>
        <w:br/>
        <w:t>Determination of Dumping</w:t>
      </w:r>
    </w:p>
    <w:p w:rsidR="00CF209F" w:rsidRPr="00CF209F" w:rsidRDefault="00CF209F" w:rsidP="00CF209F">
      <w:pPr>
        <w:spacing w:before="100" w:beforeAutospacing="1" w:after="100" w:afterAutospacing="1" w:line="240" w:lineRule="auto"/>
        <w:rPr>
          <w:rFonts w:ascii="Times New Roman" w:eastAsia="Times New Roman" w:hAnsi="Times New Roman" w:cs="Times New Roman"/>
          <w:sz w:val="24"/>
          <w:szCs w:val="24"/>
          <w:lang w:eastAsia="en-AU"/>
        </w:rPr>
      </w:pPr>
      <w:bookmarkStart w:id="16" w:name="art2_1"/>
      <w:bookmarkStart w:id="17" w:name="ArticleII1"/>
      <w:bookmarkEnd w:id="16"/>
      <w:bookmarkEnd w:id="17"/>
      <w:r w:rsidRPr="00CF209F">
        <w:rPr>
          <w:rFonts w:ascii="Times New Roman" w:eastAsia="Times New Roman" w:hAnsi="Times New Roman" w:cs="Times New Roman"/>
          <w:sz w:val="24"/>
          <w:szCs w:val="24"/>
          <w:lang w:eastAsia="en-AU"/>
        </w:rPr>
        <w:t xml:space="preserve">2.1    For the purpose of this Agreement, a product is to be considered as being </w:t>
      </w:r>
      <w:proofErr w:type="gramStart"/>
      <w:r w:rsidRPr="00CF209F">
        <w:rPr>
          <w:rFonts w:ascii="Times New Roman" w:eastAsia="Times New Roman" w:hAnsi="Times New Roman" w:cs="Times New Roman"/>
          <w:sz w:val="24"/>
          <w:szCs w:val="24"/>
          <w:lang w:eastAsia="en-AU"/>
        </w:rPr>
        <w:t>dumped,</w:t>
      </w:r>
      <w:proofErr w:type="gramEnd"/>
      <w:r w:rsidRPr="00CF209F">
        <w:rPr>
          <w:rFonts w:ascii="Times New Roman" w:eastAsia="Times New Roman" w:hAnsi="Times New Roman" w:cs="Times New Roman"/>
          <w:sz w:val="24"/>
          <w:szCs w:val="24"/>
          <w:lang w:eastAsia="en-AU"/>
        </w:rPr>
        <w:t xml:space="preserve"> i.e.  </w:t>
      </w:r>
      <w:proofErr w:type="gramStart"/>
      <w:r w:rsidRPr="00CF209F">
        <w:rPr>
          <w:rFonts w:ascii="Times New Roman" w:eastAsia="Times New Roman" w:hAnsi="Times New Roman" w:cs="Times New Roman"/>
          <w:sz w:val="24"/>
          <w:szCs w:val="24"/>
          <w:lang w:eastAsia="en-AU"/>
        </w:rPr>
        <w:t>introduced</w:t>
      </w:r>
      <w:proofErr w:type="gramEnd"/>
      <w:r w:rsidRPr="00CF209F">
        <w:rPr>
          <w:rFonts w:ascii="Times New Roman" w:eastAsia="Times New Roman" w:hAnsi="Times New Roman" w:cs="Times New Roman"/>
          <w:sz w:val="24"/>
          <w:szCs w:val="24"/>
          <w:lang w:eastAsia="en-AU"/>
        </w:rPr>
        <w:t xml:space="preserve"> into the commerce of another country at less than its normal value, if the export price of the product exported from one country to another is less than the comparable price, in the ordinary course of trade, for the like product when destined for consumption in the exporting country.</w:t>
      </w:r>
    </w:p>
    <w:p w:rsidR="00CF209F" w:rsidRPr="00CF209F" w:rsidRDefault="00CF209F" w:rsidP="00CF209F">
      <w:pPr>
        <w:spacing w:before="100" w:beforeAutospacing="1" w:after="100" w:afterAutospacing="1" w:line="240" w:lineRule="auto"/>
        <w:rPr>
          <w:rFonts w:ascii="Times New Roman" w:eastAsia="Times New Roman" w:hAnsi="Times New Roman" w:cs="Times New Roman"/>
          <w:sz w:val="24"/>
          <w:szCs w:val="24"/>
          <w:lang w:eastAsia="en-AU"/>
        </w:rPr>
      </w:pPr>
      <w:bookmarkStart w:id="18" w:name="art2_2"/>
      <w:bookmarkStart w:id="19" w:name="ArticleII2"/>
      <w:bookmarkEnd w:id="18"/>
      <w:bookmarkEnd w:id="19"/>
      <w:r w:rsidRPr="00CF209F">
        <w:rPr>
          <w:rFonts w:ascii="Times New Roman" w:eastAsia="Times New Roman" w:hAnsi="Times New Roman" w:cs="Times New Roman"/>
          <w:sz w:val="24"/>
          <w:szCs w:val="24"/>
          <w:lang w:eastAsia="en-AU"/>
        </w:rPr>
        <w:t>2.2    When there are no sales of the like product in the ordinary course of trade in the domestic market of the exporting country or when, because of the particular market situation or the low volume of the sales in the domestic market of the exporting country</w:t>
      </w:r>
      <w:hyperlink r:id="rId5" w:anchor="fnt-2" w:history="1">
        <w:r w:rsidRPr="00CF209F">
          <w:rPr>
            <w:rFonts w:ascii="Times New Roman" w:eastAsia="Times New Roman" w:hAnsi="Times New Roman" w:cs="Times New Roman"/>
            <w:color w:val="0000FF"/>
            <w:sz w:val="24"/>
            <w:szCs w:val="24"/>
            <w:u w:val="single"/>
            <w:vertAlign w:val="superscript"/>
            <w:lang w:eastAsia="en-AU"/>
          </w:rPr>
          <w:t>(2)</w:t>
        </w:r>
      </w:hyperlink>
      <w:r w:rsidRPr="00CF209F">
        <w:rPr>
          <w:rFonts w:ascii="Times New Roman" w:eastAsia="Times New Roman" w:hAnsi="Times New Roman" w:cs="Times New Roman"/>
          <w:sz w:val="24"/>
          <w:szCs w:val="24"/>
          <w:lang w:eastAsia="en-AU"/>
        </w:rPr>
        <w:t>, such sales do not permit a proper comparison, the margin of dumping shall be determined by comparison with a comparable price of the like product when exported to an appropriate third country, provided that this price is representative, or with the cost of production in the country of origin plus a reasonable amount for administrative, selling and general costs and for profits.</w:t>
      </w:r>
    </w:p>
    <w:p w:rsidR="00CF209F" w:rsidRPr="00CF209F" w:rsidRDefault="00CF209F" w:rsidP="00CF209F">
      <w:pPr>
        <w:spacing w:before="100" w:beforeAutospacing="1" w:after="100" w:afterAutospacing="1" w:line="240" w:lineRule="auto"/>
        <w:rPr>
          <w:rFonts w:ascii="Times New Roman" w:eastAsia="Times New Roman" w:hAnsi="Times New Roman" w:cs="Times New Roman"/>
          <w:sz w:val="24"/>
          <w:szCs w:val="24"/>
          <w:lang w:eastAsia="en-AU"/>
        </w:rPr>
      </w:pPr>
      <w:bookmarkStart w:id="20" w:name="art2_2_1"/>
      <w:bookmarkStart w:id="21" w:name="ArticleII2.2.1"/>
      <w:bookmarkEnd w:id="20"/>
      <w:bookmarkEnd w:id="21"/>
      <w:r w:rsidRPr="00CF209F">
        <w:rPr>
          <w:rFonts w:ascii="Times New Roman" w:eastAsia="Times New Roman" w:hAnsi="Times New Roman" w:cs="Times New Roman"/>
          <w:sz w:val="24"/>
          <w:szCs w:val="24"/>
          <w:lang w:eastAsia="en-AU"/>
        </w:rPr>
        <w:t xml:space="preserve">2.2.1  Sales of the like product in the domestic market of the exporting country or sales to a third country at prices below per unit (fixed and variable) costs of production plus  administrative, selling and general costs may be treated as not being in the ordinary course of trade by reason of price and may be disregarded in determining normal value only if the authorities </w:t>
      </w:r>
      <w:hyperlink r:id="rId6" w:anchor="fnt-3" w:history="1">
        <w:r w:rsidRPr="00CF209F">
          <w:rPr>
            <w:rFonts w:ascii="Times New Roman" w:eastAsia="Times New Roman" w:hAnsi="Times New Roman" w:cs="Times New Roman"/>
            <w:color w:val="0000FF"/>
            <w:sz w:val="24"/>
            <w:szCs w:val="24"/>
            <w:u w:val="single"/>
            <w:vertAlign w:val="superscript"/>
            <w:lang w:eastAsia="en-AU"/>
          </w:rPr>
          <w:t>(</w:t>
        </w:r>
        <w:r w:rsidRPr="00CF209F">
          <w:rPr>
            <w:rFonts w:ascii="Times New Roman" w:eastAsia="Times New Roman" w:hAnsi="Times New Roman" w:cs="Times New Roman"/>
            <w:b/>
            <w:bCs/>
            <w:color w:val="0000FF"/>
            <w:sz w:val="24"/>
            <w:szCs w:val="24"/>
            <w:u w:val="single"/>
            <w:vertAlign w:val="superscript"/>
            <w:lang w:eastAsia="en-AU"/>
          </w:rPr>
          <w:t>3</w:t>
        </w:r>
        <w:r w:rsidRPr="00CF209F">
          <w:rPr>
            <w:rFonts w:ascii="Times New Roman" w:eastAsia="Times New Roman" w:hAnsi="Times New Roman" w:cs="Times New Roman"/>
            <w:color w:val="0000FF"/>
            <w:sz w:val="24"/>
            <w:szCs w:val="24"/>
            <w:u w:val="single"/>
            <w:vertAlign w:val="superscript"/>
            <w:lang w:eastAsia="en-AU"/>
          </w:rPr>
          <w:t>)</w:t>
        </w:r>
      </w:hyperlink>
      <w:r w:rsidRPr="00CF209F">
        <w:rPr>
          <w:rFonts w:ascii="Times New Roman" w:eastAsia="Times New Roman" w:hAnsi="Times New Roman" w:cs="Times New Roman"/>
          <w:sz w:val="24"/>
          <w:szCs w:val="24"/>
          <w:lang w:eastAsia="en-AU"/>
        </w:rPr>
        <w:t xml:space="preserve"> determine that such sales are made within an extended period of time</w:t>
      </w:r>
      <w:hyperlink r:id="rId7" w:anchor="fnt-4" w:history="1">
        <w:r w:rsidRPr="00CF209F">
          <w:rPr>
            <w:rFonts w:ascii="Times New Roman" w:eastAsia="Times New Roman" w:hAnsi="Times New Roman" w:cs="Times New Roman"/>
            <w:color w:val="0000FF"/>
            <w:sz w:val="24"/>
            <w:szCs w:val="24"/>
            <w:u w:val="single"/>
            <w:vertAlign w:val="superscript"/>
            <w:lang w:eastAsia="en-AU"/>
          </w:rPr>
          <w:t>(</w:t>
        </w:r>
        <w:r w:rsidRPr="00CF209F">
          <w:rPr>
            <w:rFonts w:ascii="Times New Roman" w:eastAsia="Times New Roman" w:hAnsi="Times New Roman" w:cs="Times New Roman"/>
            <w:b/>
            <w:bCs/>
            <w:color w:val="0000FF"/>
            <w:sz w:val="24"/>
            <w:szCs w:val="24"/>
            <w:u w:val="single"/>
            <w:vertAlign w:val="superscript"/>
            <w:lang w:eastAsia="en-AU"/>
          </w:rPr>
          <w:t>4</w:t>
        </w:r>
        <w:r w:rsidRPr="00CF209F">
          <w:rPr>
            <w:rFonts w:ascii="Times New Roman" w:eastAsia="Times New Roman" w:hAnsi="Times New Roman" w:cs="Times New Roman"/>
            <w:color w:val="0000FF"/>
            <w:sz w:val="24"/>
            <w:szCs w:val="24"/>
            <w:u w:val="single"/>
            <w:vertAlign w:val="superscript"/>
            <w:lang w:eastAsia="en-AU"/>
          </w:rPr>
          <w:t>)</w:t>
        </w:r>
      </w:hyperlink>
      <w:r w:rsidRPr="00CF209F">
        <w:rPr>
          <w:rFonts w:ascii="Times New Roman" w:eastAsia="Times New Roman" w:hAnsi="Times New Roman" w:cs="Times New Roman"/>
          <w:sz w:val="24"/>
          <w:szCs w:val="24"/>
          <w:lang w:eastAsia="en-AU"/>
        </w:rPr>
        <w:t xml:space="preserve"> in substantial quantities</w:t>
      </w:r>
      <w:hyperlink r:id="rId8" w:anchor="fnt-5" w:history="1">
        <w:r w:rsidRPr="00CF209F">
          <w:rPr>
            <w:rFonts w:ascii="Times New Roman" w:eastAsia="Times New Roman" w:hAnsi="Times New Roman" w:cs="Times New Roman"/>
            <w:color w:val="0000FF"/>
            <w:sz w:val="24"/>
            <w:szCs w:val="24"/>
            <w:u w:val="single"/>
            <w:vertAlign w:val="superscript"/>
            <w:lang w:eastAsia="en-AU"/>
          </w:rPr>
          <w:t>(</w:t>
        </w:r>
        <w:r w:rsidRPr="00CF209F">
          <w:rPr>
            <w:rFonts w:ascii="Times New Roman" w:eastAsia="Times New Roman" w:hAnsi="Times New Roman" w:cs="Times New Roman"/>
            <w:b/>
            <w:bCs/>
            <w:color w:val="0000FF"/>
            <w:sz w:val="24"/>
            <w:szCs w:val="24"/>
            <w:u w:val="single"/>
            <w:vertAlign w:val="superscript"/>
            <w:lang w:eastAsia="en-AU"/>
          </w:rPr>
          <w:t>5</w:t>
        </w:r>
        <w:r w:rsidRPr="00CF209F">
          <w:rPr>
            <w:rFonts w:ascii="Times New Roman" w:eastAsia="Times New Roman" w:hAnsi="Times New Roman" w:cs="Times New Roman"/>
            <w:color w:val="0000FF"/>
            <w:sz w:val="24"/>
            <w:szCs w:val="24"/>
            <w:u w:val="single"/>
            <w:vertAlign w:val="superscript"/>
            <w:lang w:eastAsia="en-AU"/>
          </w:rPr>
          <w:t>)</w:t>
        </w:r>
      </w:hyperlink>
      <w:r w:rsidRPr="00CF209F">
        <w:rPr>
          <w:rFonts w:ascii="Times New Roman" w:eastAsia="Times New Roman" w:hAnsi="Times New Roman" w:cs="Times New Roman"/>
          <w:sz w:val="24"/>
          <w:szCs w:val="24"/>
          <w:lang w:eastAsia="en-AU"/>
        </w:rPr>
        <w:t xml:space="preserve"> and are at prices which do not provide for the recovery of all costs within a reasonable period of time.  If prices which are below per unit costs at the time of sale are above weighted average per unit costs for the period of investigation, such prices shall be considered to provide for recovery of costs within a reasonable period of time.</w:t>
      </w:r>
      <w:r w:rsidRPr="00CF209F">
        <w:rPr>
          <w:rFonts w:ascii="Times New Roman" w:eastAsia="Times New Roman" w:hAnsi="Times New Roman" w:cs="Times New Roman"/>
          <w:sz w:val="24"/>
          <w:szCs w:val="24"/>
          <w:lang w:eastAsia="en-AU"/>
        </w:rPr>
        <w:br/>
        <w:t> </w:t>
      </w:r>
    </w:p>
    <w:p w:rsidR="00CF209F" w:rsidRPr="00CF209F" w:rsidRDefault="00CF209F" w:rsidP="00CF209F">
      <w:pPr>
        <w:spacing w:before="100" w:beforeAutospacing="1" w:after="100" w:afterAutospacing="1" w:line="240" w:lineRule="auto"/>
        <w:rPr>
          <w:rFonts w:ascii="Times New Roman" w:eastAsia="Times New Roman" w:hAnsi="Times New Roman" w:cs="Times New Roman"/>
          <w:sz w:val="24"/>
          <w:szCs w:val="24"/>
          <w:lang w:eastAsia="en-AU"/>
        </w:rPr>
      </w:pPr>
      <w:bookmarkStart w:id="22" w:name="art2_2_1_1"/>
      <w:bookmarkStart w:id="23" w:name="ArticleII2.2.1.1"/>
      <w:bookmarkEnd w:id="22"/>
      <w:bookmarkEnd w:id="23"/>
      <w:r w:rsidRPr="00CF209F">
        <w:rPr>
          <w:rFonts w:ascii="Times New Roman" w:eastAsia="Times New Roman" w:hAnsi="Times New Roman" w:cs="Times New Roman"/>
          <w:sz w:val="24"/>
          <w:szCs w:val="24"/>
          <w:lang w:eastAsia="en-AU"/>
        </w:rPr>
        <w:t>2.2.1.1    For the purpose of paragraph 2, costs shall normally be calculated on the basis of records kept by the exporter or producer under investigation, provided that such records are in accordance with the generally accepted accounting principles of the exporting country and reasonably reflect the costs associated with the production and sale of the product under consideration.  Authorities shall consider all available evidence on the proper allocation of costs, including that which is made available by the exporter or producer in the course of</w:t>
      </w:r>
      <w:proofErr w:type="gramStart"/>
      <w:r w:rsidRPr="00CF209F">
        <w:rPr>
          <w:rFonts w:ascii="Times New Roman" w:eastAsia="Times New Roman" w:hAnsi="Times New Roman" w:cs="Times New Roman"/>
          <w:sz w:val="24"/>
          <w:szCs w:val="24"/>
          <w:lang w:eastAsia="en-AU"/>
        </w:rPr>
        <w:t>  the</w:t>
      </w:r>
      <w:proofErr w:type="gramEnd"/>
      <w:r w:rsidRPr="00CF209F">
        <w:rPr>
          <w:rFonts w:ascii="Times New Roman" w:eastAsia="Times New Roman" w:hAnsi="Times New Roman" w:cs="Times New Roman"/>
          <w:sz w:val="24"/>
          <w:szCs w:val="24"/>
          <w:lang w:eastAsia="en-AU"/>
        </w:rPr>
        <w:t xml:space="preserve"> investigation provided that such allocations have been historically utilized by the exporter or  producer, in particular in relation to establishing appropriate amortization and depreciation periods and  allowances for capital expenditures and other development costs.  Unless already reflected in the cost allocations under this sub-paragraph, costs shall be adjusted appropriately for those non-recurring items of cost which benefit future and/or current production, or for circumstances in which costs during the period of investigation are affected by start-up operations.</w:t>
      </w:r>
      <w:hyperlink r:id="rId9" w:anchor="fnt-6" w:history="1">
        <w:r w:rsidRPr="00CF209F">
          <w:rPr>
            <w:rFonts w:ascii="Times New Roman" w:eastAsia="Times New Roman" w:hAnsi="Times New Roman" w:cs="Times New Roman"/>
            <w:color w:val="0000FF"/>
            <w:sz w:val="24"/>
            <w:szCs w:val="24"/>
            <w:u w:val="single"/>
            <w:vertAlign w:val="superscript"/>
            <w:lang w:eastAsia="en-AU"/>
          </w:rPr>
          <w:t>(6)</w:t>
        </w:r>
      </w:hyperlink>
    </w:p>
    <w:p w:rsidR="00CF209F" w:rsidRDefault="00CF209F"/>
    <w:p w:rsidR="009D537F" w:rsidRDefault="009D537F"/>
    <w:p w:rsidR="009D537F" w:rsidRDefault="009D537F">
      <w:pPr>
        <w:rPr>
          <w:b/>
          <w:color w:val="000000"/>
        </w:rPr>
      </w:pPr>
      <w:r>
        <w:rPr>
          <w:b/>
          <w:color w:val="000000"/>
        </w:rPr>
        <w:br w:type="page"/>
      </w:r>
    </w:p>
    <w:p w:rsidR="00827364" w:rsidRDefault="00827364" w:rsidP="009D537F">
      <w:pPr>
        <w:rPr>
          <w:b/>
          <w:color w:val="000000"/>
        </w:rPr>
      </w:pPr>
      <w:r>
        <w:rPr>
          <w:b/>
          <w:color w:val="000000"/>
        </w:rPr>
        <w:lastRenderedPageBreak/>
        <w:t>Protocol of Accession of PRC to WTO, WT/L/432, Nov 2001</w:t>
      </w:r>
      <w:bookmarkStart w:id="24" w:name="_GoBack"/>
      <w:bookmarkEnd w:id="24"/>
    </w:p>
    <w:p w:rsidR="009D537F" w:rsidRDefault="009D537F" w:rsidP="009D537F">
      <w:pPr>
        <w:rPr>
          <w:b/>
          <w:color w:val="000000"/>
        </w:rPr>
      </w:pPr>
      <w:r>
        <w:rPr>
          <w:b/>
          <w:color w:val="000000"/>
        </w:rPr>
        <w:t>15.</w:t>
      </w:r>
      <w:r>
        <w:rPr>
          <w:b/>
          <w:color w:val="000000"/>
        </w:rPr>
        <w:tab/>
        <w:t>Price Comparability in Determining Subsidies and Dumping</w:t>
      </w:r>
    </w:p>
    <w:p w:rsidR="009D537F" w:rsidRPr="009D537F" w:rsidRDefault="009D537F" w:rsidP="009D537F">
      <w:pPr>
        <w:rPr>
          <w:sz w:val="21"/>
          <w:szCs w:val="21"/>
        </w:rPr>
      </w:pPr>
      <w:r w:rsidRPr="009D537F">
        <w:rPr>
          <w:sz w:val="21"/>
          <w:szCs w:val="21"/>
        </w:rPr>
        <w:t>Article VI of the GATT 1994, the Agreement on Implementation of Article VI of the General Agreement on Tariffs and Trade 1994 ("Anti-Dumping Agreement") and the SCM Agreement shall apply in proceedings involving imports of Chinese origin into a WTO Member consistent with the following:</w:t>
      </w:r>
    </w:p>
    <w:p w:rsidR="009D537F" w:rsidRPr="009D537F" w:rsidRDefault="009D537F" w:rsidP="009D537F">
      <w:pPr>
        <w:ind w:left="1440" w:hanging="1440"/>
        <w:rPr>
          <w:sz w:val="21"/>
          <w:szCs w:val="21"/>
        </w:rPr>
      </w:pPr>
      <w:r w:rsidRPr="009D537F">
        <w:rPr>
          <w:sz w:val="21"/>
          <w:szCs w:val="21"/>
        </w:rPr>
        <w:t>(a)</w:t>
      </w:r>
      <w:r w:rsidRPr="009D537F">
        <w:rPr>
          <w:sz w:val="21"/>
          <w:szCs w:val="21"/>
        </w:rPr>
        <w:tab/>
      </w:r>
      <w:r w:rsidRPr="009D537F">
        <w:rPr>
          <w:sz w:val="21"/>
          <w:szCs w:val="21"/>
        </w:rPr>
        <w:t>In determining price comparability under Article VI of the GATT 1994 and the Anti</w:t>
      </w:r>
      <w:r w:rsidRPr="009D537F">
        <w:rPr>
          <w:sz w:val="21"/>
          <w:szCs w:val="21"/>
        </w:rPr>
        <w:noBreakHyphen/>
        <w:t>Dumping Agreement, the importing WTO Member shall use either Chinese prices or costs for the industry under investigation or a methodology that is not based on a strict comparison with domestic prices or costs in China based on the following rules:</w:t>
      </w:r>
    </w:p>
    <w:p w:rsidR="009D537F" w:rsidRPr="009D537F" w:rsidRDefault="009D537F" w:rsidP="009D537F">
      <w:pPr>
        <w:ind w:left="1440" w:hanging="720"/>
        <w:rPr>
          <w:sz w:val="21"/>
          <w:szCs w:val="21"/>
        </w:rPr>
      </w:pPr>
      <w:r w:rsidRPr="009D537F">
        <w:rPr>
          <w:sz w:val="21"/>
          <w:szCs w:val="21"/>
        </w:rPr>
        <w:t>(</w:t>
      </w:r>
      <w:proofErr w:type="spellStart"/>
      <w:r w:rsidRPr="009D537F">
        <w:rPr>
          <w:sz w:val="21"/>
          <w:szCs w:val="21"/>
        </w:rPr>
        <w:t>i</w:t>
      </w:r>
      <w:proofErr w:type="spellEnd"/>
      <w:r w:rsidRPr="009D537F">
        <w:rPr>
          <w:sz w:val="21"/>
          <w:szCs w:val="21"/>
        </w:rPr>
        <w:t>)</w:t>
      </w:r>
      <w:r w:rsidRPr="009D537F">
        <w:rPr>
          <w:sz w:val="21"/>
          <w:szCs w:val="21"/>
        </w:rPr>
        <w:tab/>
        <w:t>If the producers under investigation can clearly show that market economy conditions prevail in the industry producing the like product with regard to the manufacture, production and sale of that product, the importing WTO Member shall use Chinese prices or costs for the industry under investigation in determining price comparability;</w:t>
      </w:r>
    </w:p>
    <w:p w:rsidR="009D537F" w:rsidRPr="009D537F" w:rsidRDefault="009D537F" w:rsidP="009D537F">
      <w:pPr>
        <w:ind w:left="1440" w:hanging="720"/>
        <w:rPr>
          <w:sz w:val="21"/>
          <w:szCs w:val="21"/>
        </w:rPr>
      </w:pPr>
      <w:r w:rsidRPr="009D537F">
        <w:rPr>
          <w:sz w:val="21"/>
          <w:szCs w:val="21"/>
        </w:rPr>
        <w:t>(ii)</w:t>
      </w:r>
      <w:r w:rsidRPr="009D537F">
        <w:rPr>
          <w:sz w:val="21"/>
          <w:szCs w:val="21"/>
        </w:rPr>
        <w:tab/>
        <w:t>The importing WTO Member may use a methodology that is not based on a strict comparison with domestic prices or costs in China if the producers under investigation cannot clearly show that market economy conditions prevail in the industry producing the like product with regard to manufacture, production and sale of that product.</w:t>
      </w:r>
    </w:p>
    <w:p w:rsidR="009D537F" w:rsidRPr="009D537F" w:rsidRDefault="009D537F" w:rsidP="009D537F">
      <w:pPr>
        <w:ind w:left="1440" w:hanging="1440"/>
        <w:rPr>
          <w:sz w:val="21"/>
          <w:szCs w:val="21"/>
        </w:rPr>
      </w:pPr>
      <w:r w:rsidRPr="009D537F">
        <w:rPr>
          <w:sz w:val="21"/>
          <w:szCs w:val="21"/>
        </w:rPr>
        <w:t>(b)</w:t>
      </w:r>
      <w:r w:rsidRPr="009D537F">
        <w:rPr>
          <w:sz w:val="21"/>
          <w:szCs w:val="21"/>
        </w:rPr>
        <w:tab/>
        <w:t>In proceedings under Parts II, III and V of the SCM Agreement, when addressing subsidies described in Articles 14(a), 14(b), 14(c) and 14(d), relevant provisions of the SCM Agreement shall apply;  however, if there are special difficulties in that application, the importing WTO Member may then use methodologies for identifying and measuring the subsidy benefit which take into account the possibility that prevailing terms and conditions in China may not always be available as appropriate benchmarks.  In applying such methodologies, where practicable, the importing WTO Member should adjust such prevailing terms and conditions before considering the use of terms and conditions prevailing outside China.</w:t>
      </w:r>
    </w:p>
    <w:p w:rsidR="009D537F" w:rsidRPr="009D537F" w:rsidRDefault="009D537F" w:rsidP="009D537F">
      <w:pPr>
        <w:ind w:left="1440" w:hanging="1440"/>
        <w:rPr>
          <w:sz w:val="21"/>
          <w:szCs w:val="21"/>
        </w:rPr>
      </w:pPr>
      <w:r w:rsidRPr="009D537F">
        <w:rPr>
          <w:sz w:val="21"/>
          <w:szCs w:val="21"/>
        </w:rPr>
        <w:t>(c)</w:t>
      </w:r>
      <w:r w:rsidRPr="009D537F">
        <w:rPr>
          <w:sz w:val="21"/>
          <w:szCs w:val="21"/>
        </w:rPr>
        <w:tab/>
        <w:t>The importing WTO Member shall notify methodologies used in accordance with subparagraph (a) to the Committee on Anti-Dumping Practices and shall notify methodologies used in accordance with subparagraph (b) to the Committee on Subsidies and Countervailing Measures.</w:t>
      </w:r>
    </w:p>
    <w:p w:rsidR="009D537F" w:rsidRPr="009D537F" w:rsidRDefault="009D537F" w:rsidP="009D537F">
      <w:pPr>
        <w:ind w:left="1440" w:hanging="1440"/>
        <w:rPr>
          <w:sz w:val="21"/>
          <w:szCs w:val="21"/>
        </w:rPr>
      </w:pPr>
      <w:r w:rsidRPr="009D537F">
        <w:rPr>
          <w:sz w:val="21"/>
          <w:szCs w:val="21"/>
        </w:rPr>
        <w:t>(d)</w:t>
      </w:r>
      <w:r w:rsidRPr="009D537F">
        <w:rPr>
          <w:sz w:val="21"/>
          <w:szCs w:val="21"/>
        </w:rPr>
        <w:tab/>
        <w:t>Once China has established, under the national law of the importing WTO Member, that it is a market economy, the provisions of subparagraph (a) shall be terminated provided that the importing Member's national law contains market economy criteria as of the date of accession.  In any event, the provisions of subparagraph (a</w:t>
      </w:r>
      <w:proofErr w:type="gramStart"/>
      <w:r w:rsidRPr="009D537F">
        <w:rPr>
          <w:sz w:val="21"/>
          <w:szCs w:val="21"/>
        </w:rPr>
        <w:t>)(</w:t>
      </w:r>
      <w:proofErr w:type="gramEnd"/>
      <w:r w:rsidRPr="009D537F">
        <w:rPr>
          <w:sz w:val="21"/>
          <w:szCs w:val="21"/>
        </w:rPr>
        <w:t>ii) shall expire 15 years after the date of accession.  In addition, should China establish, pursuant to the national law of the importing WTO Member, that market economy conditions prevail in a particular industry or sector, the non</w:t>
      </w:r>
      <w:r w:rsidRPr="009D537F">
        <w:rPr>
          <w:sz w:val="21"/>
          <w:szCs w:val="21"/>
        </w:rPr>
        <w:noBreakHyphen/>
        <w:t xml:space="preserve">market economy provisions of subparagraph (a) shall no longer apply to that industry or </w:t>
      </w:r>
      <w:proofErr w:type="gramStart"/>
      <w:r w:rsidRPr="009D537F">
        <w:rPr>
          <w:sz w:val="21"/>
          <w:szCs w:val="21"/>
        </w:rPr>
        <w:t>sector.</w:t>
      </w:r>
      <w:proofErr w:type="gramEnd"/>
    </w:p>
    <w:p w:rsidR="009D537F" w:rsidRDefault="009D537F"/>
    <w:sectPr w:rsidR="009D5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C9"/>
    <w:rsid w:val="00034BC9"/>
    <w:rsid w:val="00817154"/>
    <w:rsid w:val="00827364"/>
    <w:rsid w:val="009D537F"/>
    <w:rsid w:val="00CF20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209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rmaltext">
    <w:name w:val="paranormaltext"/>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ndent4">
    <w:name w:val="tocindent4"/>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ndent8">
    <w:name w:val="tocindent8"/>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colourtext">
    <w:name w:val="paracolourtext"/>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CF209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F20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F209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rmaltext">
    <w:name w:val="paranormaltext"/>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ndent4">
    <w:name w:val="tocindent4"/>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ndent8">
    <w:name w:val="tocindent8"/>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colourtext">
    <w:name w:val="paracolourtext"/>
    <w:basedOn w:val="Normal"/>
    <w:rsid w:val="00CF20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CF209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F20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683">
      <w:bodyDiv w:val="1"/>
      <w:marLeft w:val="0"/>
      <w:marRight w:val="0"/>
      <w:marTop w:val="0"/>
      <w:marBottom w:val="0"/>
      <w:divBdr>
        <w:top w:val="none" w:sz="0" w:space="0" w:color="auto"/>
        <w:left w:val="none" w:sz="0" w:space="0" w:color="auto"/>
        <w:bottom w:val="none" w:sz="0" w:space="0" w:color="auto"/>
        <w:right w:val="none" w:sz="0" w:space="0" w:color="auto"/>
      </w:divBdr>
    </w:div>
    <w:div w:id="953485496">
      <w:bodyDiv w:val="1"/>
      <w:marLeft w:val="0"/>
      <w:marRight w:val="0"/>
      <w:marTop w:val="0"/>
      <w:marBottom w:val="0"/>
      <w:divBdr>
        <w:top w:val="none" w:sz="0" w:space="0" w:color="auto"/>
        <w:left w:val="none" w:sz="0" w:space="0" w:color="auto"/>
        <w:bottom w:val="none" w:sz="0" w:space="0" w:color="auto"/>
        <w:right w:val="none" w:sz="0" w:space="0" w:color="auto"/>
      </w:divBdr>
    </w:div>
    <w:div w:id="1077098300">
      <w:bodyDiv w:val="1"/>
      <w:marLeft w:val="0"/>
      <w:marRight w:val="0"/>
      <w:marTop w:val="0"/>
      <w:marBottom w:val="0"/>
      <w:divBdr>
        <w:top w:val="none" w:sz="0" w:space="0" w:color="auto"/>
        <w:left w:val="none" w:sz="0" w:space="0" w:color="auto"/>
        <w:bottom w:val="none" w:sz="0" w:space="0" w:color="auto"/>
        <w:right w:val="none" w:sz="0" w:space="0" w:color="auto"/>
      </w:divBdr>
    </w:div>
    <w:div w:id="15331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docs_e/legal_e/19-adp_01_e.htm" TargetMode="External"/><Relationship Id="rId3" Type="http://schemas.openxmlformats.org/officeDocument/2006/relationships/settings" Target="settings.xml"/><Relationship Id="rId7" Type="http://schemas.openxmlformats.org/officeDocument/2006/relationships/hyperlink" Target="https://www.wto.org/english/docs_e/legal_e/19-adp_01_e.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to.org/english/docs_e/legal_e/19-adp_01_e.htm" TargetMode="External"/><Relationship Id="rId11" Type="http://schemas.openxmlformats.org/officeDocument/2006/relationships/theme" Target="theme/theme1.xml"/><Relationship Id="rId5" Type="http://schemas.openxmlformats.org/officeDocument/2006/relationships/hyperlink" Target="https://www.wto.org/english/docs_e/legal_e/19-adp_01_e.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to.org/english/docs_e/legal_e/19-adp_01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dc:creator>
  <cp:keywords/>
  <dc:description/>
  <cp:lastModifiedBy>Brett</cp:lastModifiedBy>
  <cp:revision>3</cp:revision>
  <dcterms:created xsi:type="dcterms:W3CDTF">2017-09-21T16:02:00Z</dcterms:created>
  <dcterms:modified xsi:type="dcterms:W3CDTF">2017-09-21T16:19:00Z</dcterms:modified>
</cp:coreProperties>
</file>